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3" w:rsidRDefault="00713B86" w:rsidP="00713B86">
      <w:pPr>
        <w:jc w:val="center"/>
        <w:rPr>
          <w:rFonts w:ascii="Georgia" w:hAnsi="Georgia"/>
          <w:color w:val="3C419D"/>
          <w:sz w:val="33"/>
          <w:szCs w:val="33"/>
          <w:shd w:val="clear" w:color="auto" w:fill="FFFFFF"/>
        </w:rPr>
      </w:pPr>
      <w:r>
        <w:rPr>
          <w:rFonts w:ascii="Georgia" w:hAnsi="Georgia"/>
          <w:color w:val="3C419D"/>
          <w:sz w:val="33"/>
          <w:szCs w:val="33"/>
          <w:shd w:val="clear" w:color="auto" w:fill="FFFFFF"/>
        </w:rPr>
        <w:t xml:space="preserve">Социально – педагогическая программа «Цветик - </w:t>
      </w:r>
      <w:proofErr w:type="spellStart"/>
      <w:r>
        <w:rPr>
          <w:rFonts w:ascii="Georgia" w:hAnsi="Georgia"/>
          <w:color w:val="3C419D"/>
          <w:sz w:val="33"/>
          <w:szCs w:val="33"/>
          <w:shd w:val="clear" w:color="auto" w:fill="FFFFFF"/>
        </w:rPr>
        <w:t>семицветик</w:t>
      </w:r>
      <w:proofErr w:type="spellEnd"/>
      <w:r>
        <w:rPr>
          <w:rFonts w:ascii="Georgia" w:hAnsi="Georgia"/>
          <w:color w:val="3C419D"/>
          <w:sz w:val="33"/>
          <w:szCs w:val="33"/>
          <w:shd w:val="clear" w:color="auto" w:fill="FFFFFF"/>
        </w:rPr>
        <w:t>»</w:t>
      </w:r>
    </w:p>
    <w:p w:rsidR="00713B86" w:rsidRPr="00713B86" w:rsidRDefault="00713B86">
      <w:pPr>
        <w:rPr>
          <w:rFonts w:ascii="Georgia" w:hAnsi="Georgia"/>
          <w:color w:val="3C419D"/>
          <w:sz w:val="28"/>
          <w:szCs w:val="28"/>
          <w:shd w:val="clear" w:color="auto" w:fill="FFFFFF"/>
        </w:rPr>
      </w:pPr>
    </w:p>
    <w:p w:rsidR="00713B86" w:rsidRPr="00713B86" w:rsidRDefault="00713B86" w:rsidP="00713B86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  <w:r w:rsidRPr="00713B86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Информация о программе: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7009"/>
      </w:tblGrid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Год регистрации на портале: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2015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Автор/разработчик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proofErr w:type="spellStart"/>
            <w:r w:rsidRPr="00713B8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Мусанабиева</w:t>
            </w:r>
            <w:proofErr w:type="spellEnd"/>
            <w:r w:rsidRPr="00713B8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Алексеевна</w:t>
            </w: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методист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Контакты: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Тел./факс +7 (928) 978-69-00</w:t>
            </w: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br/>
              <w:t>E-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: 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Оздоровительный лагерь будущих предпринимателей и защитников природы «Надежда».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Регион: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Направленности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социально-педагогическая</w:t>
            </w: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социально-педагогическая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Возраст детей: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От 7 до 15 лет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Наличие системы обратной связи с участниками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Опыт реализации, отзывы о 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Об опыте реализации программы были сообщения в РИА новости 26 июля 2014 года, двух телевизионный передачах РГВК Дагестан в газетах: «Наш Избербаш» от 17 июля 2014 года, «Орлёнок. Дагестан» №30 от 23 июля, №31 от 31 июля, в местной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Каякентской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газете.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Аннотация: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Является интегрированной, так как представляет собой синтез образовательной, оздоровительной, игровой, трудовой, воспитательной, физкультурно-спортивной и исследовательской деятельности, имеет оригинальную идею, нетрадиционный подход к организации жизнедеятельности детей и взрослых в лагере. Программа представляет собой Игру – путешествие, которая осуществляет цель формирования у детей положительного социального опыта. Реализация сюжетно - игровой модели смены посредством творческого роста каждого ребенка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рганизуется в форме тематических дней, расписанных в программе: «Мы помним», «Моя родина Россия», «Твой дом твоя семья», «Дагестан моя родина», «Природа и я» и т.д. Логика дня выстраивается сама собой, ведет отряды от одного мероприятия к другому. При организации любого дня алгоритм остается примерно тем же, хотя тематика дня </w:t>
            </w: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 xml:space="preserve">существенно меняется. А еще тематический день позволяет обыграть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оргмоменты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: подъем, утреннюю зарядку, уборку территории; они тоже становятся тематически нацеленными. В программе можно выделить пять 5 самостоятельных, вполне законченных и взаимоувязанных блока: • Досуговый. • Спецкурс “ Экология человека и культура здоровья”. • Дополнительное образование. • Школа вожатского мастерства. • Мастер – классы, творческие объединения, кружки. К программе прилагаются 21 технологическая карта, они являются технологической расшифровкой каждого дня. Завершается каждый день проектной деятельностью и презентацией созданных проектов. Помимо этого в лагере были организованы сквозные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межотрядные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дела: «Весёлые Старты», творческая игра «Поиск», военно-спортивная игра «Военная тайна». В начале смены проводится старт игры с вручение карты путешествия каждому отряду, в конце смены дети приходят к «Цветику –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Семицветику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», подводятся итоги, презентуются проекты, награждаются победители.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lastRenderedPageBreak/>
              <w:t>Предполагаемый социальный эффект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Программа лагеря обеспечила каждому ребенку психологическую комфортность в действиях, мотивах участия в работе отряда, связанных с собственным развитием и реализацией, организацию социально-значимого досуга детей и подростков, уменьшение степени риска вовлечения детей и подростков в преступную среду, гражданско-патриотическое воспитание детей и юношества. Главным результатом деятельности является развитие ребенка. Показатели этого развития - приобретение ребенком новых знаний, укрепление физических и психических сил, т.е. новый положительный жизненный опыт. Дети приобщаются к здоровому и безопасному образу жизни - в естественных условиях социальной и природной среды. В лагере формируются привычки здорового образа жизни, и осуществляется практическое воплощение этих навыков.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Ресурсная обеспеченность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Программа обеспечена хорошей материальной базой, высоким кадровым потенциалом. В лагере все предусмотрено для отдыха и развлечения детей, для общения и развития их способностей: хорошее материальное оснащение лагеря (4 двух этажный каменных корпуса для проживания детей, на 400 спальных мест, оснащенная новой техникой, и мебелью столовая, отдельный медицинский корпус, развлекательный центр, комнаты для кружков и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методическое, программное, организационно – нормативное и педагогическое обеспечение, а так же благоустроенная территория.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Цель: создание и реализация эффективных условий для детей и подростков Дагестана для целенаправленного полноценного отдыха в период летних каникул в профильном экологическом лагере учащихся «Надежда», способствующего экологическому, духовно-нравственному воспитанию и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здоровьесбережению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Задачи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Создание условий для формирования всесторонне развитой личности; - пропаганда здорового образа жизни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оспитать любовь к окружающему миру и к себе, как частице этого мира; - сформировать эмоциональное восприятие детьми окружающего мира; - развитие интеллектуальных, творческих, коммуникативных способностей у детей; - расширение общего кругозора детей, их осведомленности в отдельных областях знаний; - забота о здоровье детей, выработка сноровки, силы воли; - сплочение детского коллектива, развитие умения работать в команде; - организовать работу творческих объединений и студий по интересам: «Природа», «Лепка», «Волшебный бисер». «Рисование», «Аппликация», </w:t>
            </w:r>
            <w:hyperlink r:id="rId5" w:tgtFrame="a652c_1481611771_vlagereduru_376484" w:tooltip="Нажмите, чтобы продолжить, Advertise" w:history="1">
              <w:r w:rsidRPr="00713B86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ФУТБОЛ</w:t>
              </w:r>
              <w:r>
                <w:rPr>
                  <w:rFonts w:ascii="Georgia" w:eastAsia="Times New Roman" w:hAnsi="Georgia" w:cs="Times New Roman"/>
                  <w:noProof/>
                  <w:color w:val="0000FF"/>
                  <w:sz w:val="24"/>
                  <w:szCs w:val="24"/>
                  <w:lang w:eastAsia="ru-RU"/>
                </w:rPr>
                <w:drawing>
                  <wp:inline distT="0" distB="0" distL="0" distR="0">
                    <wp:extent cx="95250" cy="95250"/>
                    <wp:effectExtent l="0" t="0" r="0" b="0"/>
                    <wp:docPr id="1" name="Рисунок 1" descr="http://cdncache-a.akamaihd.net/items/it/img/arrow-10x10.png">
                      <a:hlinkClick xmlns:a="http://schemas.openxmlformats.org/drawingml/2006/main" r:id="rId5" tgtFrame="&quot;a652c_1481611771_vlagereduru_376484&quot;" tooltip="&quot;Нажмите, чтобы продолжить, Advertise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cdncache-a.akamaihd.net/items/it/img/arrow-10x10.png">
                              <a:hlinkClick r:id="rId5" tgtFrame="&quot;a652c_1481611771_vlagereduru_376484&quot;" tooltip="&quot;Нажмите, чтобы продолжить, Advertise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95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», «Плавание», «Танцы» и т.д.; - обеспечение возможности ребенку полноценно и продуктивно использовать время, свободное от обучения в школе, приобщаться к истории и культуре Дагестана, приобрести простейшие навыки организованного досуга, полнее ощутить свои возможности и реализовать их; - развитие творческих способностей и навыков самореализации.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Предполагаемые результаты реализации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В результате реализации программы достигнуты следующие результаты: - организован качественный отдых детей и подростков в лагере « Надежда»; - актуализация, закрепление, расширение знаний, полученных в ходе школьного обучения; - формирование культуры общения, навыков взаимодействия друг с другом; - оздоровление и физическое развитие участников программы; - пересмотрено, смоделировано, разработано и реализовано содержание программ летнего отдыха детей, реализуемых на базе оздоровительного лагеря «Надежда» в летний период с учетом современных методик; - участники программы обладают умениями и навыками прикладного творчества;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-в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едется непрерывная работа с педагогическими кадрами по подготовке и на перспективу работы в оздоровительном лагере «Надежда»; - создана собственная методическая база и постоянно пополняется методическая библиотека в стационарном и электронном формате, в соответствии с развитием информационных технологий;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озданы условия для развития личности ребёнка во всех направлениях; -проведена работа, направленная на формирование гражданско-патриотического, экологического, творческого, спортивно-оздоровительного воспитания детей посредством системы дел различной направленности, заложенных в программе «Цветик-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» через историю, традиций, обряды, культуры Республики Дагестан; -приняты все необходимые меры по повышению уровня обеспечения безопасности в процессе реализации программ летнего отдыха детей. Программы смен, проводимых в лагере, имеют высокий рейтинг среди населения Республики, востребованы на 100%.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Перечень специалистов реализующих программу: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Преподаватели: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Багомаев М.А руководитель программы «Экология человека» 10 лет, Кандидат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наук, высшая квалификационная категория Багомаев М.А Директор ОЛ «Надежда» 10 лет, Кандидат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наук, высшая квалификационная категория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Мутаев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К.М. Старший воспитатель 6 лет высшая квалификационная категория Гаджиева З.К. Старшая вожатая 10 лет высшая квалификационная категория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Мусанабиева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О.А. Методист 30 лет высшая квалификационная категория Отрядные вожатые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студенты ВУЗов Дагестана Преподаватели: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Багомаев М.А руководитель программы «Экология человека» 10 лет, Кандидат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наук, высшая квалификационная категория Багомаев М.А Директор ОЛ «Надежда» 10 лет, Кандидат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наук, высшая квалификационная категория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Мутаев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К.М. Старший воспитатель 6 лет высшая квалификационная категория Гаджиева З.К. Старшая вожатая 10 лет высшая квалификационная категория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Мусанабиева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О.А. Методист 30 лет высшая квалификационная категория Отрядные вожатые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- студенты ВУЗов Дагестана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C</w:t>
            </w:r>
            <w:proofErr w:type="gramEnd"/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истема</w:t>
            </w:r>
            <w:proofErr w:type="spellEnd"/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 xml:space="preserve"> подготовки специалистов дополнительного образования: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Педагогический отряд «Надежда» состоит из молодых вожатых – студентов вузов Дагестана, которые прошли обучение на Республиканских выездных инструктивно-методических сборах учебных мобильных групп (старших вожатых), специалистов детских оздоровительных учреждений «Ключ к успеху» на территории Буйнакского района в ДООЛ «Орленок», организованных Министерством образования и науки. Все вожатые имеют свидетельства, а пятеро из них обладают сертификатами участника X фестиваля педагогических отрядов лагерей актива Росси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Москва). Директор лагеря Багомаев М. А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закончил курсы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повышения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. кадров в ВДЦ «Орленок» и там же работал вожатым. В 2014 году лагерь «Надежда» стал экспериментальной площадкой по реализации проекта «Каспий море дружбы», организованного Дагестанским Региональным Отделением Молодежной общероссийской общественной организацией «Российские Студенческие Отряды». В рамках этого проекта в лагерь «Надежда» были приглашены 7 студентов Чеченского Государственного педагогического института, которые для получения практического опыта работы были поставлены на отряды с более опытными дагестанскими вожатыми педагогического отряда «Надежда». Все они имеют свидетельство о прохождении курсов вожатской профессии. В помощь вожатым руководителям программ в лагере издается специальная литература и материалы: книга «А ну – ка, вожатый», дневник вожатого, методические рекомендации, учебные пособия, сборники из опыта работы. Для успешной реализации программы ведется систематическая работа с вожатыми педагогического отряда «Надежда», проводятся следующие мероприятия: 1. Установочный семинар для организаторов программы. 2. Технологические карты каждого дня. 3. Методическое пособие для вожатых. 4. Комплекс вопросов и упражнений для вожатых. 5. Разработка творческих дел, игр, праздников.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 предварительном семинаре-тренинге, организованном методистом лагеря за три дня до заезда в лагерь, вожатые изучают организацию работы детского лагеря, знакомятся с его службами, оборудованием, оформлением, порядком обеспечения жизнедеятельности коллектива взрослых и детей в течение смены и всего лета, и с организацией деятельности отрядов и органов управления, проводятся консультации опытных организаторов летнего отдыха, обмен опытом практической работы, овладение методикой организации коллективной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 индивидуальной деятельности. Осуществляется все это в процессе подготовки и участия в делах, выполнении поручений, программировании, планировании, анализе дел и дня; в деловых играх, практикумах, работе творческих лабораторий. Также программой предусматриваются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деловые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игр: «Планерка в лагере», «Банк идей», «Выборы президента» 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;п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рактикумы: оформительское мастерство, игры, песни, медицинский, по противопожарной безопасности т.д. По итогам семинара-тренинга проводится анкетирование. В заключение семинара организуется встреча с руководством лагеря для уточнения возможностей организаторов летнего отдыха. На протяжении всего периода работы вожатые получают методическую и консультативную поддержку, участвуя в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овещаниях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, метод. занятиях, творческих группах по подготовке дел, работая с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пед.документацией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по самоанализу результатов деятельности.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Ресурсная обеспеченность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Программа обеспечена хорошей материальной базой, высоким кадровым потенциалом. В лагере все предусмотрено для отдыха и развлечения детей, для общения и развития их способностей: хорошее материальное оснащение лагеря (4 двух этажный каменных корпуса для проживания детей, на 400 спальных мест, оснащенная новой техникой, и мебелью столовая, отдельный медицинский корпус, развлекательный центр, комнаты для кружков и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 методическое, программное, организационно – нормативное и педагогическое обеспечение, а так же благоустроенная территория.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Методы оценки эффективности: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 лагере является нормой постоянный анализ того, что делается, в том числе и участия каждого в жизни лагеря, что неизбежно приводит к самоанализу. Дети проводят вечерние огоньки. Отзывы детей, родителей работников лагеря фиксируются старшей вожатой. Проводится систематический анализ через анкетирование, опрос и проективные методики. Диагностический блок позволил исследовать динамику социального и личностного развития ребенка, осмыслить условия и факты этого роста, обеспечить корректировку и поддержку общения и взаимодействия детей. Так по программе работы лагеря мы проводили игровую форму социометрии в отрядах, определение самооценки каждого ребенка, метод проектного рисунка «Я в лагере «Надежда», различные формы рефлексии, выявление коммуникативных и организаторских способностей. Результаты диагностики служили для анализа деятельности педагогического состава на начало смены и ее окончание.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Наличие системы стимулирования: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Развитие творческого потенциала детей, Повышения уровня их спортивных достижений, Профилактики ЗОЖ, Снижения уровня агрессивности в детской среде, Профориентация, Самоуправление</w:t>
            </w: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24"/>
                <w:szCs w:val="24"/>
                <w:lang w:eastAsia="ru-RU"/>
              </w:rPr>
              <w:t>Наличие системы показателей и индикаторов оценки качества программы: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На детском уровне, На родительском уровне, На уровне администрации детских оздоровительных лагерей, На уровне социального заказа учреждениям отдыха и оздоровления детей </w:t>
            </w:r>
            <w:proofErr w:type="spellStart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субьекта</w:t>
            </w:r>
            <w:proofErr w:type="spellEnd"/>
            <w:r w:rsidRPr="00713B86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РФ</w:t>
            </w:r>
          </w:p>
        </w:tc>
      </w:tr>
    </w:tbl>
    <w:p w:rsidR="00713B86" w:rsidRDefault="00713B8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1"/>
        <w:gridCol w:w="3599"/>
      </w:tblGrid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18"/>
                <w:szCs w:val="18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18"/>
                <w:szCs w:val="18"/>
                <w:lang w:eastAsia="ru-RU"/>
              </w:rPr>
              <w:t>Прикреплённые файлы: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209"/>
            </w:tblGrid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00AEE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47650" cy="295275"/>
                        <wp:effectExtent l="0" t="0" r="0" b="9525"/>
                        <wp:docPr id="3" name="Рисунок 3" descr="http://vlager.edu.ru/images/xls.png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vlager.edu.ru/images/xls.png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hyperlink r:id="rId9" w:tgtFrame="_blank" w:history="1">
                    <w:r w:rsidRPr="00713B86">
                      <w:rPr>
                        <w:rFonts w:ascii="Georgia" w:eastAsia="Times New Roman" w:hAnsi="Georgia" w:cs="Times New Roman"/>
                        <w:color w:val="00AEE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План-график (план-сетка)</w:t>
                    </w:r>
                  </w:hyperlink>
                </w:p>
              </w:tc>
            </w:tr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00AEE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47650" cy="295275"/>
                        <wp:effectExtent l="0" t="0" r="0" b="9525"/>
                        <wp:docPr id="2" name="Рисунок 2" descr="http://vlager.edu.ru/images/doc.png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vlager.edu.ru/images/doc.png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hyperlink r:id="rId12" w:tgtFrame="_blank" w:history="1">
                    <w:r w:rsidRPr="00713B86">
                      <w:rPr>
                        <w:rFonts w:ascii="Georgia" w:eastAsia="Times New Roman" w:hAnsi="Georgia" w:cs="Times New Roman"/>
                        <w:color w:val="00AEE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Информационная карта</w:t>
                    </w:r>
                  </w:hyperlink>
                </w:p>
              </w:tc>
            </w:tr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B86" w:rsidRPr="00713B86" w:rsidRDefault="00713B86" w:rsidP="00713B86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232D43"/>
                <w:sz w:val="18"/>
                <w:szCs w:val="18"/>
                <w:lang w:eastAsia="ru-RU"/>
              </w:rPr>
            </w:pPr>
          </w:p>
        </w:tc>
      </w:tr>
    </w:tbl>
    <w:p w:rsidR="00713B86" w:rsidRDefault="00713B86"/>
    <w:p w:rsidR="00713B86" w:rsidRDefault="00713B86" w:rsidP="00713B8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28"/>
        </w:rPr>
      </w:pPr>
      <w:r w:rsidRPr="00713B86">
        <w:rPr>
          <w:rFonts w:ascii="Georgia" w:hAnsi="Georgia"/>
          <w:color w:val="000000"/>
          <w:sz w:val="28"/>
          <w:szCs w:val="28"/>
        </w:rPr>
        <w:t>Отчёт о проведении:</w:t>
      </w:r>
    </w:p>
    <w:p w:rsidR="00713B86" w:rsidRDefault="00713B86" w:rsidP="00713B8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28"/>
        </w:rPr>
      </w:pPr>
    </w:p>
    <w:p w:rsidR="00713B86" w:rsidRDefault="00713B86" w:rsidP="00713B8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3667125" cy="24468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8300" cy="2447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86" w:rsidRDefault="00713B86" w:rsidP="00713B8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28"/>
        </w:rPr>
      </w:pPr>
    </w:p>
    <w:p w:rsidR="00713B86" w:rsidRPr="00713B86" w:rsidRDefault="00713B86" w:rsidP="00713B86">
      <w:pPr>
        <w:pStyle w:val="2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</w:rPr>
        <w:drawing>
          <wp:inline distT="0" distB="0" distL="0" distR="0">
            <wp:extent cx="3733800" cy="2491329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4997" cy="249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86" w:rsidRDefault="00713B86"/>
    <w:p w:rsidR="00713B86" w:rsidRDefault="00713B86">
      <w:r>
        <w:rPr>
          <w:noProof/>
          <w:lang w:eastAsia="ru-RU"/>
        </w:rPr>
        <w:drawing>
          <wp:inline distT="0" distB="0" distL="0" distR="0">
            <wp:extent cx="3197666" cy="21336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8691" cy="213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B86" w:rsidRDefault="00713B86"/>
    <w:p w:rsidR="00713B86" w:rsidRDefault="00713B86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023"/>
      </w:tblGrid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18"/>
                <w:szCs w:val="18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18"/>
                <w:szCs w:val="18"/>
                <w:lang w:eastAsia="ru-RU"/>
              </w:rPr>
              <w:t>Файлы отчёта: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2127"/>
            </w:tblGrid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00AEE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47650" cy="295275"/>
                        <wp:effectExtent l="0" t="0" r="0" b="9525"/>
                        <wp:docPr id="5" name="Рисунок 5" descr="http://vlager.edu.ru/images/doc.png">
                          <a:hlinkClick xmlns:a="http://schemas.openxmlformats.org/drawingml/2006/main" r:id="rId16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vlager.edu.ru/images/doc.png">
                                  <a:hlinkClick r:id="rId16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hyperlink r:id="rId17" w:tgtFrame="_blank" w:history="1">
                    <w:r w:rsidRPr="00713B86">
                      <w:rPr>
                        <w:rFonts w:ascii="Georgia" w:eastAsia="Times New Roman" w:hAnsi="Georgia" w:cs="Times New Roman"/>
                        <w:color w:val="00AEE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Отчет (1) (1).docx</w:t>
                    </w:r>
                  </w:hyperlink>
                </w:p>
              </w:tc>
            </w:tr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00AEEF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>
                        <wp:extent cx="247650" cy="295275"/>
                        <wp:effectExtent l="0" t="0" r="0" b="9525"/>
                        <wp:docPr id="4" name="Рисунок 4" descr="http://vlager.edu.ru/images/doc.png">
                          <a:hlinkClick xmlns:a="http://schemas.openxmlformats.org/drawingml/2006/main" r:id="rId1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vlager.edu.ru/images/doc.png">
                                  <a:hlinkClick r:id="rId1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225" w:type="dxa"/>
                    <w:bottom w:w="225" w:type="dxa"/>
                    <w:right w:w="0" w:type="dxa"/>
                  </w:tcMar>
                  <w:vAlign w:val="center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  <w:hyperlink r:id="rId19" w:tgtFrame="_blank" w:history="1">
                    <w:r w:rsidRPr="00713B86">
                      <w:rPr>
                        <w:rFonts w:ascii="Georgia" w:eastAsia="Times New Roman" w:hAnsi="Georgia" w:cs="Times New Roman"/>
                        <w:color w:val="00AEEF"/>
                        <w:sz w:val="24"/>
                        <w:szCs w:val="24"/>
                        <w:u w:val="single"/>
                        <w:bdr w:val="none" w:sz="0" w:space="0" w:color="auto" w:frame="1"/>
                        <w:lang w:eastAsia="ru-RU"/>
                      </w:rPr>
                      <w:t>книга.docx</w:t>
                    </w:r>
                  </w:hyperlink>
                </w:p>
              </w:tc>
            </w:tr>
            <w:tr w:rsidR="00713B86" w:rsidRPr="00713B86" w:rsidTr="00713B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25" w:type="dxa"/>
                    <w:right w:w="0" w:type="dxa"/>
                  </w:tcMar>
                  <w:vAlign w:val="bottom"/>
                  <w:hideMark/>
                </w:tcPr>
                <w:p w:rsidR="00713B86" w:rsidRPr="00713B86" w:rsidRDefault="00713B86" w:rsidP="00713B86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13B86" w:rsidRPr="00713B86" w:rsidRDefault="00713B86" w:rsidP="00713B86">
            <w:pPr>
              <w:spacing w:after="0" w:line="240" w:lineRule="auto"/>
              <w:textAlignment w:val="baseline"/>
              <w:rPr>
                <w:rFonts w:ascii="Georgia" w:eastAsia="Times New Roman" w:hAnsi="Georgia" w:cs="Times New Roman"/>
                <w:color w:val="232D43"/>
                <w:sz w:val="18"/>
                <w:szCs w:val="18"/>
                <w:lang w:eastAsia="ru-RU"/>
              </w:rPr>
            </w:pPr>
          </w:p>
        </w:tc>
      </w:tr>
      <w:tr w:rsidR="00713B86" w:rsidRPr="00713B86" w:rsidTr="00713B86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50" w:type="dxa"/>
              <w:bottom w:w="150" w:type="dxa"/>
              <w:right w:w="15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color w:val="696C96"/>
                <w:sz w:val="18"/>
                <w:szCs w:val="18"/>
                <w:lang w:eastAsia="ru-RU"/>
              </w:rPr>
            </w:pPr>
            <w:r w:rsidRPr="00713B86">
              <w:rPr>
                <w:rFonts w:ascii="Georgia" w:eastAsia="Times New Roman" w:hAnsi="Georgia" w:cs="Times New Roman"/>
                <w:color w:val="696C96"/>
                <w:sz w:val="18"/>
                <w:szCs w:val="18"/>
                <w:lang w:eastAsia="ru-RU"/>
              </w:rPr>
              <w:t>Ссылки: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225" w:type="dxa"/>
              <w:right w:w="0" w:type="dxa"/>
            </w:tcMar>
            <w:vAlign w:val="bottom"/>
            <w:hideMark/>
          </w:tcPr>
          <w:p w:rsidR="00713B86" w:rsidRPr="00713B86" w:rsidRDefault="00713B86" w:rsidP="00713B86">
            <w:pPr>
              <w:spacing w:after="0" w:line="240" w:lineRule="auto"/>
              <w:rPr>
                <w:rFonts w:ascii="Georgia" w:eastAsia="Times New Roman" w:hAnsi="Georgia" w:cs="Times New Roman"/>
                <w:color w:val="232D43"/>
                <w:sz w:val="18"/>
                <w:szCs w:val="18"/>
                <w:lang w:eastAsia="ru-RU"/>
              </w:rPr>
            </w:pPr>
            <w:hyperlink r:id="rId20" w:history="1">
              <w:r w:rsidRPr="00713B86">
                <w:rPr>
                  <w:rFonts w:ascii="Georgia" w:eastAsia="Times New Roman" w:hAnsi="Georgia" w:cs="Times New Roman"/>
                  <w:color w:val="00AEE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http://www.youtube.com/watch?v=XkiFC7Wbp7c</w:t>
              </w:r>
            </w:hyperlink>
            <w:r w:rsidRPr="00713B86">
              <w:rPr>
                <w:rFonts w:ascii="Georgia" w:eastAsia="Times New Roman" w:hAnsi="Georgia" w:cs="Times New Roman"/>
                <w:color w:val="232D43"/>
                <w:sz w:val="18"/>
                <w:szCs w:val="18"/>
                <w:lang w:eastAsia="ru-RU"/>
              </w:rPr>
              <w:br/>
            </w:r>
            <w:hyperlink r:id="rId21" w:history="1">
              <w:r w:rsidRPr="00713B86">
                <w:rPr>
                  <w:rFonts w:ascii="Georgia" w:eastAsia="Times New Roman" w:hAnsi="Georgia" w:cs="Times New Roman"/>
                  <w:color w:val="00AEE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http://www.rgvktv.r</w:t>
              </w:r>
              <w:bookmarkStart w:id="0" w:name="_GoBack"/>
              <w:bookmarkEnd w:id="0"/>
              <w:r w:rsidRPr="00713B86">
                <w:rPr>
                  <w:rFonts w:ascii="Georgia" w:eastAsia="Times New Roman" w:hAnsi="Georgia" w:cs="Times New Roman"/>
                  <w:color w:val="00AEEF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u/obshchestvo/34402</w:t>
              </w:r>
            </w:hyperlink>
          </w:p>
        </w:tc>
      </w:tr>
    </w:tbl>
    <w:p w:rsidR="00713B86" w:rsidRDefault="00713B86">
      <w:r w:rsidRPr="00713B86">
        <w:rPr>
          <w:rFonts w:ascii="Georgia" w:eastAsia="Times New Roman" w:hAnsi="Georgia" w:cs="Times New Roman"/>
          <w:b/>
          <w:bCs/>
          <w:color w:val="232D43"/>
          <w:sz w:val="18"/>
          <w:szCs w:val="18"/>
          <w:bdr w:val="none" w:sz="0" w:space="0" w:color="auto" w:frame="1"/>
          <w:shd w:val="clear" w:color="auto" w:fill="FFFFFF"/>
          <w:lang w:eastAsia="ru-RU"/>
        </w:rPr>
        <w:t>* при размещении материалов сохранена авторская редакция</w:t>
      </w:r>
    </w:p>
    <w:sectPr w:rsidR="0071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B86"/>
    <w:rsid w:val="002A48A3"/>
    <w:rsid w:val="0071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3B86"/>
  </w:style>
  <w:style w:type="character" w:styleId="a3">
    <w:name w:val="Hyperlink"/>
    <w:basedOn w:val="a0"/>
    <w:uiPriority w:val="99"/>
    <w:semiHidden/>
    <w:unhideWhenUsed/>
    <w:rsid w:val="00713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13B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13B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13B86"/>
  </w:style>
  <w:style w:type="character" w:styleId="a3">
    <w:name w:val="Hyperlink"/>
    <w:basedOn w:val="a0"/>
    <w:uiPriority w:val="99"/>
    <w:semiHidden/>
    <w:unhideWhenUsed/>
    <w:rsid w:val="00713B8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779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g"/><Relationship Id="rId18" Type="http://schemas.openxmlformats.org/officeDocument/2006/relationships/hyperlink" Target="http://vlager.edu.ru/files/program/reports/files/705/176.docx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gvktv.ru/obshchestvo/34402" TargetMode="External"/><Relationship Id="rId7" Type="http://schemas.openxmlformats.org/officeDocument/2006/relationships/hyperlink" Target="http://vlager.edu.ru/files/program/files/705/1421.xlsx" TargetMode="External"/><Relationship Id="rId12" Type="http://schemas.openxmlformats.org/officeDocument/2006/relationships/hyperlink" Target="http://vlager.edu.ru/files/program/files/705/1422.docx" TargetMode="External"/><Relationship Id="rId17" Type="http://schemas.openxmlformats.org/officeDocument/2006/relationships/hyperlink" Target="http://vlager.edu.ru/files/program/reports/files/705/163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vlager.edu.ru/files/program/reports/files/705/163.docx" TargetMode="External"/><Relationship Id="rId20" Type="http://schemas.openxmlformats.org/officeDocument/2006/relationships/hyperlink" Target="http://www.youtube.com/watch?v=XkiFC7Wbp7c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s.igmhb.com/click?v=UlU6MTI2NTI2OjEwNTc1OtGE0YPRgtCx0L7Quzo5YWZkYjQ1ZDc2YTk0ODk0ZDI0MzY2OTg2M2NhYjY1OTp6LTI0NDktODgyMTkxMDM6dmxhZ2VyLmVkdS5ydTozNzY0ODQ6NTk2NmNhOWJlZmMyNTgyODRiZjEwMDFlZGE0OWVjNTQ6NDE0YmQxNTlkZjAyNDRhODgzMzQyODZkZDUzYTcyMTE6MDpkYXRhX3NzLDcyOHgxMzY2O2RhdGFfcmMsMjtkYXRhX2ZiLG5vOzo1MzMwNjM2Ojo6MC4wMQ&amp;subid=g-88219103-e17854c812344738898cbf37472b8c1c-&amp;data_ss=728x1366&amp;data_rc=2&amp;data_fb=no&amp;data_tagname=A&amp;data_ct=image_only&amp;data_clickel=link&amp;data_sid=bcb84c77a03603ca250ffab6568a600b" TargetMode="External"/><Relationship Id="rId15" Type="http://schemas.openxmlformats.org/officeDocument/2006/relationships/image" Target="media/image6.jpg"/><Relationship Id="rId23" Type="http://schemas.openxmlformats.org/officeDocument/2006/relationships/theme" Target="theme/theme1.xml"/><Relationship Id="rId10" Type="http://schemas.openxmlformats.org/officeDocument/2006/relationships/hyperlink" Target="http://vlager.edu.ru/files/program/files/705/1422.docx" TargetMode="External"/><Relationship Id="rId19" Type="http://schemas.openxmlformats.org/officeDocument/2006/relationships/hyperlink" Target="http://vlager.edu.ru/files/program/reports/files/705/17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lager.edu.ru/files/program/files/705/1421.xlsx" TargetMode="External"/><Relationship Id="rId14" Type="http://schemas.openxmlformats.org/officeDocument/2006/relationships/image" Target="media/image5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2182</Words>
  <Characters>12440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Информация о программе:</vt:lpstr>
      <vt:lpstr>    Отчёт о проведении:</vt:lpstr>
      <vt:lpstr>    </vt:lpstr>
      <vt:lpstr>    /</vt:lpstr>
      <vt:lpstr>    </vt:lpstr>
      <vt:lpstr>    /</vt:lpstr>
    </vt:vector>
  </TitlesOfParts>
  <Company>diakov.net</Company>
  <LinksUpToDate>false</LinksUpToDate>
  <CharactersWithSpaces>14593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2016-12-13T07:19:00Z</dcterms:created>
  <dcterms:modified xsi:type="dcterms:W3CDTF">2016-12-13T07:23:00Z</dcterms:modified>
</cp:coreProperties>
</file>